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C5E92E"/>
    <w:p w14:paraId="3E53153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 使用用户工具箱对流程基本属性页面中的字段进行添加，添加后注意同步至数据库并使用updatehistory工具进行表字段同步，同步后确认三张表是否均有改字段，表名分别为：H_Part、T_Part、P_Part</w:t>
      </w:r>
    </w:p>
    <w:p w14:paraId="092F29DE">
      <w:pPr>
        <w:rPr>
          <w:rFonts w:hint="eastAsia"/>
          <w:lang w:val="en-US" w:eastAsia="zh-CN"/>
        </w:rPr>
      </w:pPr>
    </w:p>
    <w:p w14:paraId="712F29C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流程实例元模型名称：WFProcessInst.XML</w:t>
      </w:r>
    </w:p>
    <w:p w14:paraId="562BE22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增加字段：是否发图（SFXF）</w:t>
      </w:r>
    </w:p>
    <w:p w14:paraId="371BA5E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一定记得同步数据库：三个表名分别为：H_Part、T_Part、P_Part</w:t>
      </w:r>
    </w:p>
    <w:p w14:paraId="56761E81">
      <w:r>
        <w:drawing>
          <wp:inline distT="0" distB="0" distL="114300" distR="114300">
            <wp:extent cx="5272405" cy="3397250"/>
            <wp:effectExtent l="0" t="0" r="444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22C8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确认H_Part</w:t>
      </w:r>
    </w:p>
    <w:p w14:paraId="4D9D787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989580"/>
            <wp:effectExtent l="0" t="0" r="698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236B8"/>
    <w:p w14:paraId="2ECA2CA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确认T_Part</w:t>
      </w:r>
    </w:p>
    <w:p w14:paraId="2A8CE9C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3959860"/>
            <wp:effectExtent l="0" t="0" r="825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D2237">
      <w:pPr>
        <w:rPr>
          <w:rFonts w:hint="eastAsia"/>
          <w:lang w:val="en-US" w:eastAsia="zh-CN"/>
        </w:rPr>
      </w:pPr>
    </w:p>
    <w:p w14:paraId="433F67B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确认P_Part</w:t>
      </w:r>
    </w:p>
    <w:p w14:paraId="0D2D091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3811905"/>
            <wp:effectExtent l="0" t="0" r="889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0D84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4E59DB5D">
      <w:pPr>
        <w:rPr>
          <w:rFonts w:hint="default"/>
          <w:lang w:val="en-US" w:eastAsia="zh-CN"/>
        </w:rPr>
      </w:pPr>
    </w:p>
    <w:p w14:paraId="74BCD6F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 确认步骤1 后将修改后的元模型上传至模板库并重启CAXA所有相关服务</w:t>
      </w:r>
    </w:p>
    <w:p w14:paraId="3A35BCC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3更改配置文件</w:t>
      </w:r>
    </w:p>
    <w:p w14:paraId="3489B7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路径：</w:t>
      </w:r>
    </w:p>
    <w:p w14:paraId="44809BB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C:\Users\Public\CAXA\CAXA EAP CLIENT\1.0\Cfg\zh-CN\GlobalCfg\ModuleCfg\workflow\WFInfo_View.json</w:t>
      </w:r>
    </w:p>
    <w:p w14:paraId="6DE63E3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修改如下图，注意json格式</w:t>
      </w:r>
    </w:p>
    <w:p w14:paraId="67EF57B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>{</w:t>
      </w:r>
    </w:p>
    <w:p w14:paraId="0820B07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"ID": "PROP_WF_SFXF",</w:t>
      </w:r>
    </w:p>
    <w:p w14:paraId="6C6C419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"Name": "是否下发",</w:t>
      </w:r>
    </w:p>
    <w:p w14:paraId="25D7CC8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"FontColor": {</w:t>
      </w:r>
    </w:p>
    <w:p w14:paraId="13F9720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"Default": [</w:t>
      </w:r>
    </w:p>
    <w:p w14:paraId="7E2DD44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0,</w:t>
      </w:r>
    </w:p>
    <w:p w14:paraId="7BE47BF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0,</w:t>
      </w:r>
    </w:p>
    <w:p w14:paraId="20FC234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0</w:t>
      </w:r>
    </w:p>
    <w:p w14:paraId="7C104C4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],</w:t>
      </w:r>
    </w:p>
    <w:p w14:paraId="468F942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"Condition": {}</w:t>
      </w:r>
    </w:p>
    <w:p w14:paraId="10041DF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},</w:t>
      </w:r>
    </w:p>
    <w:p w14:paraId="6224388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"Readonly": false,</w:t>
      </w:r>
    </w:p>
    <w:p w14:paraId="6A6D7DE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"RequiredField": false,</w:t>
      </w:r>
    </w:p>
    <w:p w14:paraId="310EFA4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"MultiLine": 2,</w:t>
      </w:r>
    </w:p>
    <w:p w14:paraId="67EF876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"Description": "是否下发",</w:t>
      </w:r>
    </w:p>
    <w:p w14:paraId="7302CF1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>"targetValues":["是","否"],</w:t>
      </w:r>
    </w:p>
    <w:p w14:paraId="10CFBA0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"Value": {</w:t>
      </w:r>
    </w:p>
    <w:p w14:paraId="016809E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"Meta": {</w:t>
      </w:r>
    </w:p>
    <w:p w14:paraId="59188E9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"MasterObject": [</w:t>
      </w:r>
    </w:p>
    <w:p w14:paraId="43BC905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    "SFXF"</w:t>
      </w:r>
    </w:p>
    <w:p w14:paraId="5C30FA9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]</w:t>
      </w:r>
    </w:p>
    <w:p w14:paraId="2C7B1F1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},</w:t>
      </w:r>
    </w:p>
    <w:p w14:paraId="3ADBC090">
      <w:pPr>
        <w:rPr>
          <w:rFonts w:hint="default"/>
          <w:lang w:val="en-US" w:eastAsia="zh-CN"/>
        </w:rPr>
      </w:pPr>
    </w:p>
    <w:p w14:paraId="56E4004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"Format": "@1"</w:t>
      </w:r>
    </w:p>
    <w:p w14:paraId="130A555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ab/>
      </w:r>
    </w:p>
    <w:p w14:paraId="51259F2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},</w:t>
      </w:r>
    </w:p>
    <w:p w14:paraId="29CDF38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"Domain": [</w:t>
      </w:r>
    </w:p>
    <w:p w14:paraId="4432D3E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"VaultManagement"</w:t>
      </w:r>
    </w:p>
    <w:p w14:paraId="33D2FFC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]</w:t>
      </w:r>
    </w:p>
    <w:p w14:paraId="092B2AD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}</w:t>
      </w:r>
    </w:p>
    <w:p w14:paraId="5B684541">
      <w:r>
        <w:drawing>
          <wp:inline distT="0" distB="0" distL="114300" distR="114300">
            <wp:extent cx="5274310" cy="294767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C9A98"/>
    <w:p w14:paraId="77468C7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 更新存储过程，主要目的是将写入的数据显示到流程基本属性页面内，此部分需要通过存储过程实现</w:t>
      </w:r>
    </w:p>
    <w:p w14:paraId="5AB2F4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增加示例</w:t>
      </w:r>
    </w:p>
    <w:p w14:paraId="63CA190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4114165"/>
            <wp:effectExtent l="0" t="0" r="635" b="635"/>
            <wp:docPr id="9" name="图片 9" descr="企业微信截图_1733893938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企业微信截图_1733893938458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69C5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对于是否下（SFXF）的存储过程更新如下</w:t>
      </w:r>
    </w:p>
    <w:p w14:paraId="46D3AA0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存储过程名称：usp_GetWorkItemOfWfTaskBox详细存储过程见附件</w:t>
      </w:r>
    </w:p>
    <w:p w14:paraId="169A1E2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object>
          <v:shape id="_x0000_i1036" o:spt="75" type="#_x0000_t75" style="height:65.25pt;width:72.4pt;" o:ole="t" filled="f" o:preferrelative="t" stroked="f" coordsize="21600,21600"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Package" ShapeID="_x0000_i1036" DrawAspect="Icon" ObjectID="_1468075725" r:id="rId10">
            <o:LockedField>false</o:LockedField>
          </o:OLEObject>
        </w:object>
      </w:r>
    </w:p>
    <w:p w14:paraId="3B14486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已完成任务增加“是否下发”</w:t>
      </w:r>
    </w:p>
    <w:p w14:paraId="4CFF6B53">
      <w:r>
        <w:drawing>
          <wp:inline distT="0" distB="0" distL="114300" distR="114300">
            <wp:extent cx="5272405" cy="2804160"/>
            <wp:effectExtent l="0" t="0" r="4445" b="571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A4391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已接收未完成、未接收任务分别增加“是否下发”</w:t>
      </w:r>
    </w:p>
    <w:p w14:paraId="7E693A31">
      <w:r>
        <w:drawing>
          <wp:inline distT="0" distB="0" distL="114300" distR="114300">
            <wp:extent cx="5271770" cy="2772410"/>
            <wp:effectExtent l="0" t="0" r="5080" b="889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62BF4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注意。未接收任务内需要增加三处（超期任务、预警任务、未接收任务）</w:t>
      </w:r>
    </w:p>
    <w:p w14:paraId="0AC786BE">
      <w:r>
        <w:drawing>
          <wp:inline distT="0" distB="0" distL="114300" distR="114300">
            <wp:extent cx="5267960" cy="3018155"/>
            <wp:effectExtent l="0" t="0" r="8890" b="127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C11C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 最终实现的效果：</w:t>
      </w:r>
    </w:p>
    <w:p w14:paraId="2649EFFC">
      <w:r>
        <w:drawing>
          <wp:inline distT="0" distB="0" distL="114300" distR="114300">
            <wp:extent cx="5271135" cy="4465320"/>
            <wp:effectExtent l="0" t="0" r="5715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46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DFC0E"/>
    <w:p w14:paraId="1192E397"/>
    <w:p w14:paraId="4BD842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精基的实际案例是增加了是否下发和是否附图两个属性</w:t>
      </w:r>
    </w:p>
    <w:p w14:paraId="579447F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3068320"/>
            <wp:effectExtent l="0" t="0" r="381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7C4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49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2024-12-26T10:38:33Z</dcterms:created>
  <dc:creator>45460</dc:creator>
  <cp:lastModifiedBy>孙静</cp:lastModifiedBy>
  <dcterms:modified xsi:type="dcterms:W3CDTF">2024-12-26T11:28:07Z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TemplateDocerSaveRecord">
    <vt:lpwstr>eyJoZGlkIjoiYWNiYmU1YjZhYzEyMjYwMThhNWMyYTc3N2I0MzY4YjMiLCJ1c2VySWQiOiIyNTU2NDgwMzQifQ==</vt:lpwstr>
  </property>
  <property fmtid="{D5CDD505-2E9C-101B-9397-08002B2CF9AE}" pid="4" name="ICV">
    <vt:lpwstr>AB0608772AED49F2BB9791F35F547770_12</vt:lpwstr>
  </property>
</Properties>
</file>